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line="312" w:lineRule="auto"/>
        <w:jc w:val="center"/>
        <w:rPr>
          <w:rFonts w:ascii="Helvetica Neue" w:cs="Helvetica Neue" w:eastAsia="Helvetica Neue" w:hAnsi="Helvetica Neue"/>
          <w:b w:val="1"/>
          <w:bCs w:val="1"/>
          <w:color w:val="434343"/>
          <w:sz w:val="6"/>
          <w:szCs w:val="6"/>
          <w:highlight w:val="white"/>
        </w:rPr>
      </w:pPr>
      <w:bookmarkStart w:colFirst="0" w:colLast="0" w:name="_cexlx4w1sfho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4"/>
          <w:szCs w:val="34"/>
          <w:rtl w:val="0"/>
        </w:rPr>
        <w:t xml:space="preserve">Suggested Social Media Copy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Option 1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We’re honored to announce that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[Company/Property Name]</w:t>
      </w: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 has earned a ⭐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2026 Kingsley Excellence Award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for delivering outstanding tenant experiences! A huge thank-you to our tenants for your feedback and partnership - it helps us continually raise the bar. ✨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#KingsleyExcellence #KingsleyIndex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Option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Exciting news!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[Company/Property Name]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has received the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2026 Kingsley Excellence Award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from @GraceHill for surpassing the⭐ Kingsley Index benchmark for tenant satisfaction. This achievement reflects the dedication and care our team brings every day. Thank you for making this possible! 🏆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#KingsleyExcellence #TeamExcellence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100% Club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Two years running!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[Company/Property Name]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has earned a place in the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2026 Kingsley Excellence Award 100% Club</w:t>
      </w:r>
      <w:r w:rsidDel="00000000" w:rsidR="00000000" w:rsidRPr="00000000">
        <w:rPr>
          <w:rFonts w:ascii="Fira Mono" w:cs="Fira Mono" w:eastAsia="Fira Mono" w:hAnsi="Fira Mono"/>
          <w:sz w:val="24"/>
          <w:szCs w:val="24"/>
          <w:rtl w:val="0"/>
        </w:rPr>
        <w:t xml:space="preserve"> from @GraceHill. This recognizes our unwavering commitment to exceptional tenant experiences year after year. ⭐⭐⭐⭐⭐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#KingsleyExcellence #100PercentClub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28"/>
          <w:szCs w:val="28"/>
          <w:rtl w:val="0"/>
        </w:rPr>
        <w:t xml:space="preserve">Elite 5 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We’re proud to share that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[Company/Property Name]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has been named an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Elite 5 Winner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in the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[Property Type]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category for the </w:t>
      </w: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sz w:val="24"/>
          <w:szCs w:val="24"/>
          <w:rtl w:val="0"/>
        </w:rPr>
        <w:t xml:space="preserve">2026 Kingsley Excellence Awards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! Thank you to our team and residents for helping us deliver✅ top-tier experiences every day. </w:t>
      </w:r>
    </w:p>
    <w:p w:rsidR="00000000" w:rsidDel="00000000" w:rsidP="00000000" w:rsidRDefault="00000000" w:rsidRPr="00000000" w14:paraId="0000000D">
      <w:pPr>
        <w:spacing w:after="240" w:before="240" w:lineRule="auto"/>
        <w:ind w:left="600" w:right="600" w:firstLine="0"/>
        <w:rPr>
          <w:rFonts w:ascii="Helvetica Neue" w:cs="Helvetica Neue" w:eastAsia="Helvetica Neue" w:hAnsi="Helvetica Neue"/>
          <w:b w:val="1"/>
          <w:bCs w:val="1"/>
          <w:color w:val="434343"/>
          <w:sz w:val="26"/>
          <w:szCs w:val="26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#KingsleyExcellence #Elite5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Fonts w:ascii="Helvetica Neue" w:cs="Helvetica Neue" w:eastAsia="Helvetica Neue" w:hAnsi="Helvetica Neue"/>
        <w:rtl w:val="0"/>
      </w:rPr>
      <w:t xml:space="preserve">© 2026 Grace Hill, Inc. All Rights Reserved.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  <w:br w:type="textWrapping"/>
    </w:r>
  </w:p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500143" cy="6477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269" r="0" t="0"/>
                  <a:stretch>
                    <a:fillRect/>
                  </a:stretch>
                </pic:blipFill>
                <pic:spPr>
                  <a:xfrm>
                    <a:off x="0" y="0"/>
                    <a:ext cx="1500143" cy="647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